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11D" w:rsidRDefault="00AE35D2">
      <w:pPr>
        <w:pStyle w:val="Heading2"/>
        <w:spacing w:before="360"/>
        <w:rPr>
          <w:color w:val="005283"/>
          <w:sz w:val="32"/>
          <w:szCs w:val="32"/>
        </w:rPr>
      </w:pPr>
      <w:r>
        <w:rPr>
          <w:color w:val="005283"/>
          <w:sz w:val="32"/>
          <w:szCs w:val="32"/>
        </w:rPr>
        <w:t xml:space="preserve">Cornerstones Curriculum </w:t>
      </w:r>
      <w:r>
        <w:rPr>
          <w:color w:val="005283"/>
          <w:sz w:val="32"/>
          <w:szCs w:val="32"/>
        </w:rPr>
        <w:t>Quality Indicators</w:t>
      </w:r>
    </w:p>
    <w:tbl>
      <w:tblPr>
        <w:tblStyle w:val="a"/>
        <w:tblW w:w="1279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953"/>
        <w:gridCol w:w="4230"/>
      </w:tblGrid>
      <w:tr w:rsidR="00C3111D">
        <w:trPr>
          <w:trHeight w:val="240"/>
        </w:trPr>
        <w:tc>
          <w:tcPr>
            <w:tcW w:w="1615" w:type="dxa"/>
            <w:shd w:val="clear" w:color="auto" w:fill="5B9BD5"/>
          </w:tcPr>
          <w:p w:rsidR="00C3111D" w:rsidRDefault="00AE35D2">
            <w:pPr>
              <w:rPr>
                <w:color w:val="FFFFFF"/>
              </w:rPr>
            </w:pPr>
            <w:r>
              <w:rPr>
                <w:b/>
                <w:color w:val="FFFFFF"/>
              </w:rPr>
              <w:t>Dimension</w:t>
            </w:r>
          </w:p>
        </w:tc>
        <w:tc>
          <w:tcPr>
            <w:tcW w:w="6953" w:type="dxa"/>
            <w:shd w:val="clear" w:color="auto" w:fill="5B9BD5"/>
          </w:tcPr>
          <w:p w:rsidR="00C3111D" w:rsidRDefault="00AE35D2">
            <w:pPr>
              <w:rPr>
                <w:color w:val="FFFFFF"/>
              </w:rPr>
            </w:pPr>
            <w:r>
              <w:rPr>
                <w:b/>
                <w:color w:val="FFFFFF"/>
              </w:rPr>
              <w:t>Indicators</w:t>
            </w:r>
          </w:p>
        </w:tc>
        <w:tc>
          <w:tcPr>
            <w:tcW w:w="4230" w:type="dxa"/>
            <w:shd w:val="clear" w:color="auto" w:fill="5B9BD5"/>
          </w:tcPr>
          <w:p w:rsidR="00C3111D" w:rsidRDefault="00AE35D2">
            <w:pPr>
              <w:rPr>
                <w:color w:val="FFFFFF"/>
              </w:rPr>
            </w:pPr>
            <w:r>
              <w:rPr>
                <w:b/>
                <w:color w:val="FFFFFF"/>
              </w:rPr>
              <w:t>Evidence</w:t>
            </w:r>
          </w:p>
        </w:tc>
      </w:tr>
      <w:tr w:rsidR="00C3111D">
        <w:tc>
          <w:tcPr>
            <w:tcW w:w="16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</w:tcPr>
          <w:p w:rsidR="00C3111D" w:rsidRDefault="00AE35D2">
            <w:r>
              <w:rPr>
                <w:b/>
              </w:rPr>
              <w:t>Depth</w:t>
            </w:r>
          </w:p>
        </w:tc>
        <w:tc>
          <w:tcPr>
            <w:tcW w:w="6953" w:type="dxa"/>
            <w:tcBorders>
              <w:top w:val="single" w:sz="8" w:space="0" w:color="5B9BD5"/>
              <w:bottom w:val="single" w:sz="8" w:space="0" w:color="5B9BD5"/>
            </w:tcBorders>
          </w:tcPr>
          <w:p w:rsidR="00C3111D" w:rsidRDefault="00AE35D2">
            <w:pPr>
              <w:numPr>
                <w:ilvl w:val="0"/>
                <w:numId w:val="2"/>
              </w:numPr>
            </w:pPr>
            <w:r>
              <w:t>Analysis, experimentation, crafting, and/or iterative design are the key engines of learning, not an afterthought.</w:t>
            </w:r>
          </w:p>
          <w:p w:rsidR="00C3111D" w:rsidRDefault="00AE35D2">
            <w:pPr>
              <w:numPr>
                <w:ilvl w:val="0"/>
                <w:numId w:val="2"/>
              </w:numPr>
            </w:pPr>
            <w:r>
              <w:t>Cycles of descriptive feedback</w:t>
            </w:r>
            <w:r>
              <w:t xml:space="preserve"> and deepening push students ahead.</w:t>
            </w:r>
          </w:p>
          <w:p w:rsidR="00C3111D" w:rsidRDefault="00AE35D2">
            <w:pPr>
              <w:numPr>
                <w:ilvl w:val="0"/>
                <w:numId w:val="2"/>
              </w:numPr>
            </w:pPr>
            <w:r>
              <w:t>Quality Indicators, exemplars, critique, and conversation clarify  standards of quality and success throughout the Cornerstone.</w:t>
            </w:r>
          </w:p>
          <w:p w:rsidR="00C3111D" w:rsidRDefault="00AE35D2">
            <w:pPr>
              <w:numPr>
                <w:ilvl w:val="0"/>
                <w:numId w:val="2"/>
              </w:numPr>
            </w:pPr>
            <w:r>
              <w:t>Explicit consideration of learner strengths and challenges assures both entry points and dee</w:t>
            </w:r>
            <w:r>
              <w:t>pening for a large range of students.</w:t>
            </w:r>
          </w:p>
        </w:tc>
        <w:tc>
          <w:tcPr>
            <w:tcW w:w="423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3111D" w:rsidRDefault="00C3111D"/>
        </w:tc>
      </w:tr>
      <w:tr w:rsidR="00C3111D">
        <w:tc>
          <w:tcPr>
            <w:tcW w:w="1615" w:type="dxa"/>
          </w:tcPr>
          <w:p w:rsidR="00C3111D" w:rsidRDefault="00AE35D2">
            <w:r>
              <w:rPr>
                <w:b/>
              </w:rPr>
              <w:t>Sophistication</w:t>
            </w:r>
          </w:p>
        </w:tc>
        <w:tc>
          <w:tcPr>
            <w:tcW w:w="6953" w:type="dxa"/>
          </w:tcPr>
          <w:p w:rsidR="00C3111D" w:rsidRDefault="00AE35D2">
            <w:pPr>
              <w:numPr>
                <w:ilvl w:val="0"/>
                <w:numId w:val="3"/>
              </w:numPr>
            </w:pPr>
            <w:r>
              <w:t>Learning addresses significant, connected, standards-aligned content.</w:t>
            </w:r>
          </w:p>
          <w:p w:rsidR="00C3111D" w:rsidRDefault="00AE35D2">
            <w:pPr>
              <w:numPr>
                <w:ilvl w:val="0"/>
                <w:numId w:val="3"/>
              </w:numPr>
            </w:pPr>
            <w:r>
              <w:t>Lessons connect students to content and context through explicit attention to vocabulary and background knowledge.</w:t>
            </w:r>
          </w:p>
          <w:p w:rsidR="00C3111D" w:rsidRDefault="00AE35D2">
            <w:pPr>
              <w:numPr>
                <w:ilvl w:val="0"/>
                <w:numId w:val="3"/>
              </w:numPr>
            </w:pPr>
            <w:r>
              <w:t>Lesson resources help a large range of students understand, organize, and use content. These might include  images, diagrams, content maps, and  organizers. Whenever possible, these are student-developed or student-elaborated.</w:t>
            </w:r>
          </w:p>
          <w:p w:rsidR="00C3111D" w:rsidRDefault="00AE35D2">
            <w:pPr>
              <w:numPr>
                <w:ilvl w:val="0"/>
                <w:numId w:val="3"/>
              </w:numPr>
            </w:pPr>
            <w:r>
              <w:t>Quality Indicators require ma</w:t>
            </w:r>
            <w:r>
              <w:t>sterful use of content.</w:t>
            </w:r>
          </w:p>
          <w:p w:rsidR="00C3111D" w:rsidRDefault="00AE35D2">
            <w:pPr>
              <w:numPr>
                <w:ilvl w:val="0"/>
                <w:numId w:val="3"/>
              </w:numPr>
            </w:pPr>
            <w:r>
              <w:t>Students experience and address challenges to their ideas with content-based evidence or strategy.</w:t>
            </w:r>
          </w:p>
        </w:tc>
        <w:tc>
          <w:tcPr>
            <w:tcW w:w="4230" w:type="dxa"/>
          </w:tcPr>
          <w:p w:rsidR="00C3111D" w:rsidRDefault="00C3111D"/>
        </w:tc>
      </w:tr>
      <w:tr w:rsidR="00C3111D">
        <w:tc>
          <w:tcPr>
            <w:tcW w:w="16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</w:tcPr>
          <w:p w:rsidR="00C3111D" w:rsidRDefault="00AE35D2">
            <w:r>
              <w:rPr>
                <w:b/>
              </w:rPr>
              <w:t>Impact</w:t>
            </w:r>
          </w:p>
        </w:tc>
        <w:tc>
          <w:tcPr>
            <w:tcW w:w="6953" w:type="dxa"/>
            <w:tcBorders>
              <w:top w:val="single" w:sz="8" w:space="0" w:color="5B9BD5"/>
              <w:bottom w:val="single" w:sz="8" w:space="0" w:color="5B9BD5"/>
            </w:tcBorders>
          </w:tcPr>
          <w:p w:rsidR="00C3111D" w:rsidRDefault="00AE35D2">
            <w:pPr>
              <w:numPr>
                <w:ilvl w:val="0"/>
                <w:numId w:val="1"/>
              </w:numPr>
              <w:contextualSpacing/>
            </w:pPr>
            <w:r>
              <w:t>Task takes students outside the immediate classroom context to show how people use the content by choice for authentic purposes.</w:t>
            </w:r>
          </w:p>
          <w:p w:rsidR="00C3111D" w:rsidRDefault="00AE35D2">
            <w:pPr>
              <w:numPr>
                <w:ilvl w:val="0"/>
                <w:numId w:val="1"/>
              </w:numPr>
              <w:contextualSpacing/>
            </w:pPr>
            <w:r>
              <w:t>Design of learning task helps a range of students see themselves as powerful users of content. This includes culturally-respons</w:t>
            </w:r>
            <w:r>
              <w:t>ive techniques and attention to diversity in resources, experts, and models.</w:t>
            </w:r>
          </w:p>
          <w:p w:rsidR="00C3111D" w:rsidRDefault="00AE35D2">
            <w:pPr>
              <w:numPr>
                <w:ilvl w:val="0"/>
                <w:numId w:val="1"/>
              </w:numPr>
              <w:contextualSpacing/>
            </w:pPr>
            <w:r>
              <w:t>Equal attention is paid to (1) academic content and (2) context development. Students absorb subtle details of how people use the content in the real world, including language, pr</w:t>
            </w:r>
            <w:r>
              <w:t xml:space="preserve">actices, and tools. </w:t>
            </w:r>
          </w:p>
          <w:p w:rsidR="00C3111D" w:rsidRDefault="00AE35D2">
            <w:pPr>
              <w:numPr>
                <w:ilvl w:val="0"/>
                <w:numId w:val="1"/>
              </w:numPr>
              <w:contextualSpacing/>
            </w:pPr>
            <w:r>
              <w:t>Task includes opportunities for collaboration with people outside the classroom who are genuinely  interested in the task purpose/content.</w:t>
            </w:r>
          </w:p>
        </w:tc>
        <w:tc>
          <w:tcPr>
            <w:tcW w:w="423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3111D" w:rsidRDefault="00C3111D"/>
        </w:tc>
      </w:tr>
    </w:tbl>
    <w:p w:rsidR="00C3111D" w:rsidRPr="00A26149" w:rsidRDefault="00C3111D">
      <w:pPr>
        <w:rPr>
          <w:sz w:val="2"/>
          <w:szCs w:val="2"/>
        </w:rPr>
      </w:pPr>
    </w:p>
    <w:sectPr w:rsidR="00C3111D" w:rsidRPr="00A2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296" w:right="1296" w:bottom="1296" w:left="129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D2" w:rsidRDefault="00AE35D2">
      <w:r>
        <w:separator/>
      </w:r>
    </w:p>
  </w:endnote>
  <w:endnote w:type="continuationSeparator" w:id="0">
    <w:p w:rsidR="00AE35D2" w:rsidRDefault="00A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49" w:rsidRDefault="00A2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1D" w:rsidRDefault="00C3111D">
    <w:pPr>
      <w:ind w:right="-86"/>
      <w:jc w:val="both"/>
      <w:rPr>
        <w:rFonts w:ascii="Arial" w:eastAsia="Arial" w:hAnsi="Arial" w:cs="Arial"/>
        <w:color w:val="005283"/>
        <w:sz w:val="16"/>
        <w:szCs w:val="16"/>
      </w:rPr>
    </w:pPr>
  </w:p>
  <w:p w:rsidR="00C3111D" w:rsidRDefault="00AE35D2">
    <w:pPr>
      <w:ind w:right="-86"/>
      <w:jc w:val="both"/>
      <w:rPr>
        <w:rFonts w:ascii="Arial" w:eastAsia="Arial" w:hAnsi="Arial" w:cs="Arial"/>
        <w:color w:val="005283"/>
        <w:sz w:val="18"/>
        <w:szCs w:val="18"/>
      </w:rPr>
    </w:pPr>
    <w:r>
      <w:rPr>
        <w:rFonts w:ascii="Arial" w:eastAsia="Arial" w:hAnsi="Arial" w:cs="Arial"/>
        <w:color w:val="005283"/>
        <w:sz w:val="16"/>
        <w:szCs w:val="16"/>
      </w:rPr>
      <w:t>District of Columbia Public Schools | February 2013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                            </w:t>
    </w:r>
    <w:r>
      <w:rPr>
        <w:rFonts w:ascii="Arial" w:eastAsia="Arial" w:hAnsi="Arial" w:cs="Arial"/>
        <w:color w:val="005283"/>
        <w:sz w:val="16"/>
        <w:szCs w:val="16"/>
      </w:rPr>
      <w:tab/>
      <w:t xml:space="preserve"> Page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PAGE</w:instrText>
    </w:r>
    <w:r w:rsidR="00AE59DA"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A26149">
      <w:rPr>
        <w:rFonts w:ascii="Arial" w:eastAsia="Arial" w:hAnsi="Arial" w:cs="Arial"/>
        <w:noProof/>
        <w:color w:val="005283"/>
        <w:sz w:val="16"/>
        <w:szCs w:val="16"/>
      </w:rPr>
      <w:t>2</w:t>
    </w:r>
    <w:r>
      <w:rPr>
        <w:rFonts w:ascii="Arial" w:eastAsia="Arial" w:hAnsi="Arial" w:cs="Arial"/>
        <w:color w:val="005283"/>
        <w:sz w:val="16"/>
        <w:szCs w:val="16"/>
      </w:rPr>
      <w:fldChar w:fldCharType="end"/>
    </w:r>
    <w:r>
      <w:rPr>
        <w:rFonts w:ascii="Arial" w:eastAsia="Arial" w:hAnsi="Arial" w:cs="Arial"/>
        <w:color w:val="005283"/>
        <w:sz w:val="16"/>
        <w:szCs w:val="16"/>
      </w:rPr>
      <w:t xml:space="preserve"> of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NUMPAGES</w:instrText>
    </w:r>
    <w:r w:rsidR="00AE59DA"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A26149">
      <w:rPr>
        <w:rFonts w:ascii="Arial" w:eastAsia="Arial" w:hAnsi="Arial" w:cs="Arial"/>
        <w:noProof/>
        <w:color w:val="005283"/>
        <w:sz w:val="16"/>
        <w:szCs w:val="16"/>
      </w:rPr>
      <w:t>2</w:t>
    </w:r>
    <w:r>
      <w:rPr>
        <w:rFonts w:ascii="Arial" w:eastAsia="Arial" w:hAnsi="Arial" w:cs="Arial"/>
        <w:color w:val="005283"/>
        <w:sz w:val="16"/>
        <w:szCs w:val="16"/>
      </w:rPr>
      <w:fldChar w:fldCharType="end"/>
    </w:r>
    <w:r>
      <w:rPr>
        <w:rFonts w:ascii="Arial" w:eastAsia="Arial" w:hAnsi="Arial" w:cs="Arial"/>
        <w:color w:val="005283"/>
        <w:sz w:val="16"/>
        <w:szCs w:val="16"/>
      </w:rPr>
      <w:br/>
    </w:r>
  </w:p>
  <w:p w:rsidR="00C3111D" w:rsidRDefault="00C3111D">
    <w:pPr>
      <w:spacing w:after="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1D" w:rsidRDefault="00C3111D">
    <w:pPr>
      <w:ind w:right="-86"/>
      <w:jc w:val="both"/>
      <w:rPr>
        <w:rFonts w:ascii="Arial" w:eastAsia="Arial" w:hAnsi="Arial" w:cs="Arial"/>
        <w:color w:val="005283"/>
        <w:sz w:val="16"/>
        <w:szCs w:val="16"/>
      </w:rPr>
    </w:pPr>
  </w:p>
  <w:p w:rsidR="00C3111D" w:rsidRDefault="00AE35D2">
    <w:pPr>
      <w:spacing w:after="432"/>
      <w:ind w:right="-86"/>
      <w:jc w:val="both"/>
      <w:rPr>
        <w:rFonts w:ascii="Arial" w:eastAsia="Arial" w:hAnsi="Arial" w:cs="Arial"/>
        <w:color w:val="005283"/>
        <w:sz w:val="18"/>
        <w:szCs w:val="18"/>
      </w:rPr>
    </w:pPr>
    <w:bookmarkStart w:id="1" w:name="_gjdgxs" w:colFirst="0" w:colLast="0"/>
    <w:bookmarkEnd w:id="1"/>
    <w:r>
      <w:rPr>
        <w:rFonts w:ascii="Arial" w:eastAsia="Arial" w:hAnsi="Arial" w:cs="Arial"/>
        <w:color w:val="005283"/>
        <w:sz w:val="16"/>
        <w:szCs w:val="16"/>
      </w:rPr>
      <w:t xml:space="preserve">1200 First Street, NE | Washington, DC 20002 | T 202.442.5885 | F 202.442.5026 | </w:t>
    </w:r>
    <w:hyperlink r:id="rId1">
      <w:r>
        <w:rPr>
          <w:rFonts w:ascii="Arial" w:eastAsia="Arial" w:hAnsi="Arial" w:cs="Arial"/>
          <w:color w:val="005283"/>
          <w:sz w:val="16"/>
          <w:szCs w:val="16"/>
        </w:rPr>
        <w:t>dcps.dc.gov</w:t>
      </w:r>
    </w:hyperlink>
    <w:r>
      <w:rPr>
        <w:rFonts w:ascii="Arial" w:eastAsia="Arial" w:hAnsi="Arial" w:cs="Arial"/>
        <w:color w:val="005283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D2" w:rsidRDefault="00AE35D2">
      <w:r>
        <w:separator/>
      </w:r>
    </w:p>
  </w:footnote>
  <w:footnote w:type="continuationSeparator" w:id="0">
    <w:p w:rsidR="00AE35D2" w:rsidRDefault="00AE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49" w:rsidRDefault="00A26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1D" w:rsidRDefault="00AE35D2">
    <w:pPr>
      <w:spacing w:before="108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38100</wp:posOffset>
          </wp:positionH>
          <wp:positionV relativeFrom="paragraph">
            <wp:posOffset>38100</wp:posOffset>
          </wp:positionV>
          <wp:extent cx="5943600" cy="279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11D" w:rsidRDefault="00C311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1D" w:rsidRDefault="00AE35D2">
    <w:pPr>
      <w:spacing w:before="1080"/>
    </w:pPr>
    <w:bookmarkStart w:id="0" w:name="_GoBack"/>
    <w:r>
      <w:rPr>
        <w:b/>
        <w:noProof/>
      </w:rPr>
      <w:drawing>
        <wp:inline distT="0" distB="0" distL="114300" distR="114300">
          <wp:extent cx="1685925" cy="266700"/>
          <wp:effectExtent l="0" t="0" r="9525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C54"/>
    <w:multiLevelType w:val="multilevel"/>
    <w:tmpl w:val="2DDE04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895450B"/>
    <w:multiLevelType w:val="multilevel"/>
    <w:tmpl w:val="F3DA811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8BD200C"/>
    <w:multiLevelType w:val="multilevel"/>
    <w:tmpl w:val="5BDEB8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111D"/>
    <w:rsid w:val="007416F3"/>
    <w:rsid w:val="00A26149"/>
    <w:rsid w:val="00AE35D2"/>
    <w:rsid w:val="00AE59DA"/>
    <w:rsid w:val="00C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73CC"/>
  <w15:docId w15:val="{3A508438-34EE-48F9-83DF-CE416C8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500"/>
      <w:outlineLvl w:val="0"/>
    </w:pPr>
    <w:rPr>
      <w:color w:val="005283"/>
      <w:sz w:val="64"/>
      <w:szCs w:val="64"/>
    </w:rPr>
  </w:style>
  <w:style w:type="paragraph" w:styleId="Heading2">
    <w:name w:val="heading 2"/>
    <w:basedOn w:val="Normal"/>
    <w:next w:val="Normal"/>
    <w:pPr>
      <w:keepNext/>
      <w:keepLines/>
      <w:spacing w:after="300"/>
      <w:outlineLvl w:val="1"/>
    </w:pPr>
    <w:rPr>
      <w:color w:val="A4AEB5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60" w:after="60"/>
      <w:outlineLvl w:val="2"/>
    </w:pPr>
    <w:rPr>
      <w:color w:val="00528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5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DA"/>
  </w:style>
  <w:style w:type="paragraph" w:styleId="Footer">
    <w:name w:val="footer"/>
    <w:basedOn w:val="Normal"/>
    <w:link w:val="FooterChar"/>
    <w:uiPriority w:val="99"/>
    <w:unhideWhenUsed/>
    <w:rsid w:val="00AE5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Edmonds, Marisa (DCPS-Associates)</cp:lastModifiedBy>
  <cp:revision>2</cp:revision>
  <dcterms:created xsi:type="dcterms:W3CDTF">2017-09-08T15:51:00Z</dcterms:created>
  <dcterms:modified xsi:type="dcterms:W3CDTF">2017-09-08T15:51:00Z</dcterms:modified>
</cp:coreProperties>
</file>